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2-</w:t>
      </w:r>
      <w:r>
        <w:rPr>
          <w:rFonts w:ascii="Times New Roman" w:eastAsia="Times New Roman" w:hAnsi="Times New Roman" w:cs="Times New Roman"/>
        </w:rPr>
        <w:t>23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200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02 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 Нефтеюганск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Агзямова Р.В.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при секретаре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Гильмияровой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исковом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Департамента муниципального имущества администрации города Нефтеюганска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Марущак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Алексею Анатольевичу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договорной неустойки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 194-</w:t>
      </w:r>
      <w:r>
        <w:rPr>
          <w:rFonts w:ascii="Times New Roman" w:eastAsia="Times New Roman" w:hAnsi="Times New Roman" w:cs="Times New Roman"/>
          <w:sz w:val="28"/>
          <w:szCs w:val="28"/>
        </w:rPr>
        <w:t>199 Гражданского процессуального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Л:</w:t>
      </w:r>
    </w:p>
    <w:p>
      <w:pPr>
        <w:spacing w:before="0" w:after="0"/>
        <w:jc w:val="center"/>
        <w:rPr>
          <w:sz w:val="8"/>
          <w:szCs w:val="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Департамента муниципального имущества администрации города Нефтеюганска к </w:t>
      </w:r>
      <w:r>
        <w:rPr>
          <w:rFonts w:ascii="Times New Roman" w:eastAsia="Times New Roman" w:hAnsi="Times New Roman" w:cs="Times New Roman"/>
          <w:sz w:val="28"/>
          <w:szCs w:val="28"/>
        </w:rPr>
        <w:t>Марущак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Алексею Анатольевичу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договорной неустойки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>Марущак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Алексе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Анатольевич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3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15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16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17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УМВД России по Ханты-Мансийскому автономному округу-Югре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СНИЛС </w:t>
      </w:r>
      <w:r>
        <w:rPr>
          <w:rStyle w:val="cat-UserDefinedgrp-18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пользу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Департамента муниципального имущества администрации города Нефтеюганска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Fonts w:ascii="Times New Roman" w:eastAsia="Times New Roman" w:hAnsi="Times New Roman" w:cs="Times New Roman"/>
          <w:sz w:val="28"/>
          <w:szCs w:val="28"/>
        </w:rPr>
        <w:t>860</w:t>
      </w:r>
      <w:r>
        <w:rPr>
          <w:rFonts w:ascii="Times New Roman" w:eastAsia="Times New Roman" w:hAnsi="Times New Roman" w:cs="Times New Roman"/>
          <w:sz w:val="28"/>
          <w:szCs w:val="28"/>
        </w:rPr>
        <w:t>4029014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неустойку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000 рублей.</w:t>
      </w:r>
    </w:p>
    <w:p>
      <w:pPr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Марущак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Алексе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Анатольевич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доход бюджета города Нефтеюганска государственную пошлину в размере 4000 рублей.</w:t>
      </w:r>
    </w:p>
    <w:p>
      <w:pPr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 остальной части исковых требований отказать.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течение месяца со дня принятия решения суда в окончательной форме в апелляционном порядке в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Ханты-Мансийского автономного округа – Югры с подачей жалобы через мирового судью, принявшего решение.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могут обратиться к мировому судье с заявлением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Р.В. Агзямова</w:t>
      </w:r>
    </w:p>
    <w:p>
      <w:pPr>
        <w:spacing w:before="0" w:after="0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3rplc-10">
    <w:name w:val="cat-PassportData grp-13 rplc-10"/>
    <w:basedOn w:val="DefaultParagraphFont"/>
  </w:style>
  <w:style w:type="character" w:customStyle="1" w:styleId="cat-ExternalSystemDefinedgrp-15rplc-11">
    <w:name w:val="cat-ExternalSystemDefined grp-15 rplc-11"/>
    <w:basedOn w:val="DefaultParagraphFont"/>
  </w:style>
  <w:style w:type="character" w:customStyle="1" w:styleId="cat-ExternalSystemDefinedgrp-16rplc-12">
    <w:name w:val="cat-ExternalSystemDefined grp-16 rplc-12"/>
    <w:basedOn w:val="DefaultParagraphFont"/>
  </w:style>
  <w:style w:type="character" w:customStyle="1" w:styleId="cat-ExternalSystemDefinedgrp-17rplc-13">
    <w:name w:val="cat-ExternalSystemDefined grp-17 rplc-13"/>
    <w:basedOn w:val="DefaultParagraphFont"/>
  </w:style>
  <w:style w:type="character" w:customStyle="1" w:styleId="cat-UserDefinedgrp-18rplc-15">
    <w:name w:val="cat-UserDefined grp-18 rplc-15"/>
    <w:basedOn w:val="DefaultParagraphFont"/>
  </w:style>
  <w:style w:type="character" w:customStyle="1" w:styleId="cat-UserDefinedgrp-19rplc-22">
    <w:name w:val="cat-UserDefined grp-19 rplc-22"/>
    <w:basedOn w:val="DefaultParagraphFont"/>
  </w:style>
  <w:style w:type="character" w:customStyle="1" w:styleId="cat-UserDefinedgrp-20rplc-25">
    <w:name w:val="cat-UserDefined grp-20 rplc-2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